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0" w:before="200" w:line="276" w:lineRule="auto"/>
        <w:ind w:right="147.4015748031502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Додаток 1. Перелік товарів для закупівлі </w:t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18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5"/>
        <w:gridCol w:w="6540"/>
        <w:gridCol w:w="1725"/>
        <w:tblGridChange w:id="0">
          <w:tblGrid>
            <w:gridCol w:w="915"/>
            <w:gridCol w:w="6540"/>
            <w:gridCol w:w="17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Найменування товару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Кількість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5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Ліжко двоярусне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Лавка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Спальники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Стіл розкладний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57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Вогнегасник ВП(5)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Вогнегасник ВВК(3,5)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Електричний чайник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Термос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Світильник на батареях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Ліхтар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Гучномовець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026">
      <w:pPr>
        <w:widowControl w:val="0"/>
        <w:spacing w:line="276" w:lineRule="auto"/>
        <w:ind w:right="147.4015748031502"/>
        <w:jc w:val="both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-920586</wp:posOffset>
          </wp:positionH>
          <wp:positionV relativeFrom="paragraph">
            <wp:posOffset>-457199</wp:posOffset>
          </wp:positionV>
          <wp:extent cx="7573328" cy="96202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73328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